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0"/>
        <w:ind w:left="5869" w:right="0" w:firstLine="0"/>
        <w:jc w:val="left"/>
        <w:rPr>
          <w:b/>
          <w:sz w:val="16"/>
        </w:rPr>
      </w:pPr>
      <w:r>
        <w:rPr/>
        <w:drawing>
          <wp:anchor distT="0" distB="0" distL="0" distR="0" allowOverlap="1" layoutInCell="1" locked="0" behindDoc="1" simplePos="0" relativeHeight="251565056">
            <wp:simplePos x="0" y="0"/>
            <wp:positionH relativeFrom="page">
              <wp:posOffset>6035075</wp:posOffset>
            </wp:positionH>
            <wp:positionV relativeFrom="paragraph">
              <wp:posOffset>-5341</wp:posOffset>
            </wp:positionV>
            <wp:extent cx="1374908" cy="4171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908" cy="41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.000014pt;width:591pt;height:842.65pt;mso-position-horizontal-relative:page;mso-position-vertical-relative:page;z-index:-251750400" coordorigin="0,0" coordsize="11820,16853">
            <v:shape style="position:absolute;left:1500;top:2884;width:2244;height:2193" type="#_x0000_t75" stroked="false">
              <v:imagedata r:id="rId6" o:title=""/>
            </v:shape>
            <v:shape style="position:absolute;left:0;top:15545;width:11648;height:1307" type="#_x0000_t75" stroked="false">
              <v:imagedata r:id="rId7" o:title=""/>
            </v:shape>
            <v:line style="position:absolute" from="0,15526" to="0,0" stroked="true" strokeweight="0pt" strokecolor="#3d3f46">
              <v:stroke dashstyle="solid"/>
            </v:line>
            <v:line style="position:absolute" from="9361,1271" to="9361,229" stroked="true" strokeweight=".357296pt" strokecolor="#000000">
              <v:stroke dashstyle="solid"/>
            </v:line>
            <v:line style="position:absolute" from="1193,5" to="11819,5" stroked="true" strokeweight=".535541pt" strokecolor="#000000">
              <v:stroke dashstyle="solid"/>
            </v:line>
            <v:line style="position:absolute" from="3902,1442" to="9654,1442" stroked="true" strokeweight=".714077pt" strokecolor="#000000">
              <v:stroke dashstyle="solid"/>
            </v:line>
            <v:line style="position:absolute" from="9661,1578" to="11669,1578" stroked="true" strokeweight=".357039pt" strokecolor="#000000">
              <v:stroke dashstyle="solid"/>
            </v:line>
            <v:line style="position:absolute" from="2287,2856" to="3001,2856" stroked="true" strokeweight=".714077pt" strokecolor="#000000">
              <v:stroke dashstyle="solid"/>
            </v:line>
            <v:line style="position:absolute" from="0,16845" to="11819,16845" stroked="true" strokeweight=".716673pt" strokecolor="#000000">
              <v:stroke dashstyle="solid"/>
            </v:line>
            <w10:wrap type="none"/>
          </v:group>
        </w:pict>
      </w:r>
      <w:r>
        <w:rPr>
          <w:b/>
          <w:color w:val="11111A"/>
          <w:w w:val="90"/>
          <w:sz w:val="16"/>
        </w:rPr>
        <w:t>GABINETE DO</w:t>
      </w:r>
      <w:r>
        <w:rPr>
          <w:b/>
          <w:color w:val="11111A"/>
          <w:spacing w:val="-3"/>
          <w:w w:val="90"/>
          <w:sz w:val="16"/>
        </w:rPr>
        <w:t> </w:t>
      </w:r>
      <w:r>
        <w:rPr>
          <w:b/>
          <w:color w:val="11111A"/>
          <w:w w:val="90"/>
          <w:sz w:val="16"/>
        </w:rPr>
        <w:t>PREFEITO</w:t>
      </w:r>
    </w:p>
    <w:p>
      <w:pPr>
        <w:spacing w:before="35"/>
        <w:ind w:left="5270" w:right="0" w:firstLine="0"/>
        <w:jc w:val="left"/>
        <w:rPr>
          <w:b/>
          <w:sz w:val="17"/>
        </w:rPr>
      </w:pPr>
      <w:hyperlink r:id="rId8">
        <w:r>
          <w:rPr>
            <w:b/>
            <w:color w:val="11111A"/>
            <w:sz w:val="17"/>
          </w:rPr>
          <w:t>gabinete@tamandare.pe.gov.br</w:t>
        </w:r>
      </w:hyperlink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spacing w:before="1"/>
        <w:ind w:left="1860" w:right="0" w:firstLine="0"/>
        <w:jc w:val="left"/>
        <w:rPr>
          <w:b/>
          <w:sz w:val="20"/>
        </w:rPr>
      </w:pPr>
      <w:r>
        <w:rPr>
          <w:b/>
          <w:color w:val="11111A"/>
          <w:sz w:val="20"/>
        </w:rPr>
        <w:t>LEI MUNICIPAL N.º 740/2025/GP, DE 20 DE OUTUBRO DE 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line="290" w:lineRule="auto" w:before="0"/>
        <w:ind w:left="4467" w:right="1214" w:firstLine="1"/>
        <w:jc w:val="both"/>
        <w:rPr>
          <w:sz w:val="21"/>
        </w:rPr>
      </w:pPr>
      <w:r>
        <w:rPr>
          <w:b/>
          <w:color w:val="11111A"/>
          <w:w w:val="105"/>
          <w:sz w:val="20"/>
        </w:rPr>
        <w:t>EMENTA: </w:t>
      </w:r>
      <w:r>
        <w:rPr>
          <w:color w:val="11111A"/>
          <w:w w:val="105"/>
          <w:sz w:val="21"/>
        </w:rPr>
        <w:t>Denomina área pública remanescente </w:t>
      </w:r>
      <w:r>
        <w:rPr>
          <w:color w:val="24232D"/>
          <w:w w:val="105"/>
          <w:sz w:val="21"/>
        </w:rPr>
        <w:t>às </w:t>
      </w:r>
      <w:r>
        <w:rPr>
          <w:color w:val="11111A"/>
          <w:w w:val="105"/>
          <w:sz w:val="21"/>
        </w:rPr>
        <w:t>margens da </w:t>
      </w:r>
      <w:r>
        <w:rPr>
          <w:color w:val="11111A"/>
          <w:spacing w:val="-5"/>
          <w:w w:val="105"/>
          <w:sz w:val="21"/>
        </w:rPr>
        <w:t>PE</w:t>
      </w:r>
      <w:r>
        <w:rPr>
          <w:color w:val="3D3F46"/>
          <w:spacing w:val="-5"/>
          <w:w w:val="105"/>
          <w:sz w:val="21"/>
        </w:rPr>
        <w:t>-</w:t>
      </w:r>
      <w:r>
        <w:rPr>
          <w:color w:val="11111A"/>
          <w:spacing w:val="-5"/>
          <w:w w:val="105"/>
          <w:sz w:val="21"/>
        </w:rPr>
        <w:t>076 </w:t>
      </w:r>
      <w:r>
        <w:rPr>
          <w:color w:val="3D3F46"/>
          <w:w w:val="105"/>
          <w:sz w:val="21"/>
        </w:rPr>
        <w:t>, </w:t>
      </w:r>
      <w:r>
        <w:rPr>
          <w:color w:val="24232D"/>
          <w:w w:val="105"/>
          <w:sz w:val="21"/>
        </w:rPr>
        <w:t>no </w:t>
      </w:r>
      <w:r>
        <w:rPr>
          <w:color w:val="11111A"/>
          <w:w w:val="105"/>
          <w:sz w:val="21"/>
        </w:rPr>
        <w:t>Loteamento</w:t>
      </w:r>
      <w:r>
        <w:rPr>
          <w:color w:val="11111A"/>
          <w:spacing w:val="-14"/>
          <w:w w:val="105"/>
          <w:sz w:val="21"/>
        </w:rPr>
        <w:t> </w:t>
      </w:r>
      <w:r>
        <w:rPr>
          <w:color w:val="11111A"/>
          <w:w w:val="105"/>
          <w:sz w:val="21"/>
        </w:rPr>
        <w:t>Águas</w:t>
      </w:r>
      <w:r>
        <w:rPr>
          <w:color w:val="11111A"/>
          <w:spacing w:val="-23"/>
          <w:w w:val="105"/>
          <w:sz w:val="21"/>
        </w:rPr>
        <w:t> </w:t>
      </w:r>
      <w:r>
        <w:rPr>
          <w:color w:val="11111A"/>
          <w:w w:val="105"/>
          <w:sz w:val="21"/>
        </w:rPr>
        <w:t>de</w:t>
      </w:r>
      <w:r>
        <w:rPr>
          <w:color w:val="11111A"/>
          <w:spacing w:val="-23"/>
          <w:w w:val="105"/>
          <w:sz w:val="21"/>
        </w:rPr>
        <w:t> </w:t>
      </w:r>
      <w:r>
        <w:rPr>
          <w:color w:val="11111A"/>
          <w:w w:val="105"/>
          <w:sz w:val="21"/>
        </w:rPr>
        <w:t>Tamandaré,</w:t>
      </w:r>
      <w:r>
        <w:rPr>
          <w:color w:val="11111A"/>
          <w:spacing w:val="-12"/>
          <w:w w:val="105"/>
          <w:sz w:val="21"/>
        </w:rPr>
        <w:t> </w:t>
      </w:r>
      <w:r>
        <w:rPr>
          <w:color w:val="11111A"/>
          <w:w w:val="105"/>
          <w:sz w:val="21"/>
        </w:rPr>
        <w:t>como</w:t>
      </w:r>
      <w:r>
        <w:rPr>
          <w:color w:val="11111A"/>
          <w:spacing w:val="-22"/>
          <w:w w:val="105"/>
          <w:sz w:val="21"/>
        </w:rPr>
        <w:t> </w:t>
      </w:r>
      <w:r>
        <w:rPr>
          <w:color w:val="11111A"/>
          <w:w w:val="105"/>
          <w:sz w:val="21"/>
        </w:rPr>
        <w:t>"Praça Nilton</w:t>
      </w:r>
      <w:r>
        <w:rPr>
          <w:color w:val="11111A"/>
          <w:spacing w:val="-12"/>
          <w:w w:val="105"/>
          <w:sz w:val="21"/>
        </w:rPr>
        <w:t> </w:t>
      </w:r>
      <w:r>
        <w:rPr>
          <w:color w:val="11111A"/>
          <w:w w:val="105"/>
          <w:sz w:val="21"/>
        </w:rPr>
        <w:t>Alves</w:t>
      </w:r>
      <w:r>
        <w:rPr>
          <w:color w:val="11111A"/>
          <w:spacing w:val="-19"/>
          <w:w w:val="105"/>
          <w:sz w:val="21"/>
        </w:rPr>
        <w:t> </w:t>
      </w:r>
      <w:r>
        <w:rPr>
          <w:color w:val="11111A"/>
          <w:w w:val="105"/>
          <w:sz w:val="21"/>
        </w:rPr>
        <w:t>Pedrosa"</w:t>
      </w:r>
      <w:r>
        <w:rPr>
          <w:color w:val="11111A"/>
          <w:spacing w:val="3"/>
          <w:w w:val="105"/>
          <w:sz w:val="21"/>
        </w:rPr>
        <w:t> </w:t>
      </w:r>
      <w:r>
        <w:rPr>
          <w:color w:val="11111A"/>
          <w:w w:val="105"/>
          <w:sz w:val="21"/>
        </w:rPr>
        <w:t>e</w:t>
      </w:r>
      <w:r>
        <w:rPr>
          <w:color w:val="11111A"/>
          <w:spacing w:val="-13"/>
          <w:w w:val="105"/>
          <w:sz w:val="21"/>
        </w:rPr>
        <w:t> </w:t>
      </w:r>
      <w:r>
        <w:rPr>
          <w:color w:val="11111A"/>
          <w:w w:val="105"/>
          <w:sz w:val="21"/>
        </w:rPr>
        <w:t>dá</w:t>
      </w:r>
      <w:r>
        <w:rPr>
          <w:color w:val="11111A"/>
          <w:spacing w:val="-16"/>
          <w:w w:val="105"/>
          <w:sz w:val="21"/>
        </w:rPr>
        <w:t> </w:t>
      </w:r>
      <w:r>
        <w:rPr>
          <w:color w:val="11111A"/>
          <w:w w:val="105"/>
          <w:sz w:val="21"/>
        </w:rPr>
        <w:t>outras</w:t>
      </w:r>
      <w:r>
        <w:rPr>
          <w:color w:val="11111A"/>
          <w:spacing w:val="-22"/>
          <w:w w:val="105"/>
          <w:sz w:val="21"/>
        </w:rPr>
        <w:t> </w:t>
      </w:r>
      <w:r>
        <w:rPr>
          <w:color w:val="11111A"/>
          <w:w w:val="105"/>
          <w:sz w:val="21"/>
        </w:rPr>
        <w:t>pro</w:t>
      </w:r>
      <w:r>
        <w:rPr>
          <w:color w:val="11111A"/>
          <w:spacing w:val="-40"/>
          <w:w w:val="105"/>
          <w:sz w:val="21"/>
        </w:rPr>
        <w:t> </w:t>
      </w:r>
      <w:r>
        <w:rPr>
          <w:color w:val="11111A"/>
          <w:w w:val="105"/>
          <w:sz w:val="21"/>
        </w:rPr>
        <w:t>vidênc</w:t>
      </w:r>
      <w:r>
        <w:rPr>
          <w:color w:val="3D3F46"/>
          <w:w w:val="105"/>
          <w:sz w:val="21"/>
        </w:rPr>
        <w:t>i</w:t>
      </w:r>
      <w:r>
        <w:rPr>
          <w:color w:val="11111A"/>
          <w:w w:val="105"/>
          <w:sz w:val="21"/>
        </w:rPr>
        <w:t>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80" w:lineRule="auto"/>
        <w:ind w:left="113" w:right="1202" w:firstLine="9"/>
        <w:jc w:val="both"/>
      </w:pPr>
      <w:r>
        <w:rPr>
          <w:color w:val="11111A"/>
        </w:rPr>
        <w:t>O </w:t>
      </w:r>
      <w:r>
        <w:rPr>
          <w:rFonts w:ascii="Times New Roman" w:hAnsi="Times New Roman"/>
          <w:b/>
          <w:color w:val="11111A"/>
          <w:sz w:val="21"/>
        </w:rPr>
        <w:t>PREFEITO DO MUNICÍPIO DE TAMANDAR( </w:t>
      </w:r>
      <w:r>
        <w:rPr>
          <w:color w:val="11111A"/>
        </w:rPr>
        <w:t>Estado de Pernambuco, no uso de </w:t>
      </w:r>
      <w:r>
        <w:rPr>
          <w:color w:val="24232D"/>
        </w:rPr>
        <w:t>suas </w:t>
      </w:r>
      <w:r>
        <w:rPr>
          <w:color w:val="11111A"/>
        </w:rPr>
        <w:t>atribuições legais que lhes </w:t>
      </w:r>
      <w:r>
        <w:rPr>
          <w:color w:val="24232D"/>
        </w:rPr>
        <w:t>são </w:t>
      </w:r>
      <w:r>
        <w:rPr>
          <w:color w:val="11111A"/>
        </w:rPr>
        <w:t>conferidas pela lei Orgânica M unicipal </w:t>
      </w:r>
      <w:r>
        <w:rPr>
          <w:color w:val="3D3F46"/>
        </w:rPr>
        <w:t>, </w:t>
      </w:r>
      <w:r>
        <w:rPr>
          <w:color w:val="11111A"/>
        </w:rPr>
        <w:t>FAZ </w:t>
      </w:r>
      <w:r>
        <w:rPr>
          <w:color w:val="24232D"/>
        </w:rPr>
        <w:t>SABER </w:t>
      </w:r>
      <w:r>
        <w:rPr>
          <w:color w:val="11111A"/>
        </w:rPr>
        <w:t>que a Câmara Municipal de Tamandaré aprovou e EU sanciono a </w:t>
      </w:r>
      <w:r>
        <w:rPr>
          <w:color w:val="24232D"/>
        </w:rPr>
        <w:t>seguinte </w:t>
      </w:r>
      <w:r>
        <w:rPr>
          <w:color w:val="11111A"/>
        </w:rPr>
        <w:t>lei: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95" w:lineRule="auto"/>
        <w:ind w:left="119" w:right="1201" w:hanging="2"/>
        <w:jc w:val="both"/>
      </w:pPr>
      <w:r>
        <w:rPr>
          <w:color w:val="11111A"/>
          <w:w w:val="105"/>
        </w:rPr>
        <w:t>Art. 1º - Fica denominada "Praça Nilton Alves Pedrosa" a área pública </w:t>
      </w:r>
      <w:r>
        <w:rPr>
          <w:color w:val="24232D"/>
          <w:w w:val="105"/>
        </w:rPr>
        <w:t>remanescente </w:t>
      </w:r>
      <w:r>
        <w:rPr>
          <w:color w:val="11111A"/>
          <w:w w:val="105"/>
        </w:rPr>
        <w:t>localizada à</w:t>
      </w:r>
      <w:r>
        <w:rPr>
          <w:color w:val="3D3F46"/>
          <w:w w:val="105"/>
        </w:rPr>
        <w:t>s </w:t>
      </w:r>
      <w:r>
        <w:rPr>
          <w:color w:val="11111A"/>
          <w:w w:val="105"/>
        </w:rPr>
        <w:t>margens da </w:t>
      </w:r>
      <w:r>
        <w:rPr>
          <w:color w:val="24232D"/>
          <w:w w:val="105"/>
        </w:rPr>
        <w:t>Rodovia </w:t>
      </w:r>
      <w:r>
        <w:rPr>
          <w:color w:val="11111A"/>
          <w:w w:val="105"/>
        </w:rPr>
        <w:t>PE</w:t>
      </w:r>
      <w:r>
        <w:rPr>
          <w:color w:val="3D3F46"/>
          <w:w w:val="105"/>
        </w:rPr>
        <w:t>-</w:t>
      </w:r>
      <w:r>
        <w:rPr>
          <w:color w:val="11111A"/>
          <w:w w:val="105"/>
        </w:rPr>
        <w:t>076, no loteamento Águas de Tamandaré, </w:t>
      </w:r>
      <w:r>
        <w:rPr>
          <w:color w:val="24232D"/>
          <w:w w:val="105"/>
        </w:rPr>
        <w:t>conforme </w:t>
      </w:r>
      <w:r>
        <w:rPr>
          <w:color w:val="11111A"/>
          <w:w w:val="105"/>
        </w:rPr>
        <w:t>memo</w:t>
      </w:r>
      <w:r>
        <w:rPr>
          <w:color w:val="3D3F46"/>
          <w:w w:val="105"/>
        </w:rPr>
        <w:t>r</w:t>
      </w:r>
      <w:r>
        <w:rPr>
          <w:color w:val="11111A"/>
          <w:w w:val="105"/>
        </w:rPr>
        <w:t>ial descr</w:t>
      </w:r>
      <w:r>
        <w:rPr>
          <w:color w:val="3D3F46"/>
          <w:w w:val="105"/>
        </w:rPr>
        <w:t>i</w:t>
      </w:r>
      <w:r>
        <w:rPr>
          <w:color w:val="24232D"/>
          <w:w w:val="105"/>
        </w:rPr>
        <w:t>ti </w:t>
      </w:r>
      <w:r>
        <w:rPr>
          <w:color w:val="3D3F46"/>
          <w:w w:val="105"/>
        </w:rPr>
        <w:t>v</w:t>
      </w:r>
      <w:r>
        <w:rPr>
          <w:color w:val="11111A"/>
          <w:w w:val="105"/>
        </w:rPr>
        <w:t>o e planta anexa a esta lei.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97" w:lineRule="auto"/>
        <w:ind w:left="113" w:right="617" w:firstLine="4"/>
      </w:pPr>
      <w:r>
        <w:rPr>
          <w:color w:val="11111A"/>
          <w:w w:val="105"/>
        </w:rPr>
        <w:t>Art</w:t>
      </w:r>
      <w:r>
        <w:rPr>
          <w:color w:val="3D3F46"/>
          <w:w w:val="105"/>
        </w:rPr>
        <w:t>. </w:t>
      </w:r>
      <w:r>
        <w:rPr>
          <w:color w:val="11111A"/>
          <w:w w:val="105"/>
        </w:rPr>
        <w:t>22 </w:t>
      </w:r>
      <w:r>
        <w:rPr>
          <w:color w:val="24232D"/>
          <w:w w:val="105"/>
        </w:rPr>
        <w:t>- </w:t>
      </w:r>
      <w:r>
        <w:rPr>
          <w:color w:val="11111A"/>
          <w:w w:val="105"/>
        </w:rPr>
        <w:t>A área referida no Art. 1º deverá </w:t>
      </w:r>
      <w:r>
        <w:rPr>
          <w:color w:val="24232D"/>
          <w:w w:val="105"/>
        </w:rPr>
        <w:t>ser </w:t>
      </w:r>
      <w:r>
        <w:rPr>
          <w:color w:val="11111A"/>
          <w:w w:val="105"/>
        </w:rPr>
        <w:t>urbanizada e equipada pela Prefeitura Municipal de Tamandaré</w:t>
      </w:r>
      <w:r>
        <w:rPr>
          <w:color w:val="3D3F46"/>
          <w:w w:val="105"/>
        </w:rPr>
        <w:t>, </w:t>
      </w:r>
      <w:r>
        <w:rPr>
          <w:color w:val="11111A"/>
          <w:w w:val="105"/>
        </w:rPr>
        <w:t>prioritariamente </w:t>
      </w:r>
      <w:r>
        <w:rPr>
          <w:color w:val="24232D"/>
          <w:w w:val="105"/>
        </w:rPr>
        <w:t>com</w:t>
      </w:r>
      <w:r>
        <w:rPr>
          <w:color w:val="3D3F46"/>
          <w:w w:val="105"/>
        </w:rPr>
        <w:t>: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12" w:lineRule="exact" w:before="0" w:after="0"/>
        <w:ind w:left="231" w:right="0" w:hanging="113"/>
        <w:jc w:val="left"/>
        <w:rPr>
          <w:color w:val="3D3F46"/>
          <w:sz w:val="19"/>
        </w:rPr>
      </w:pPr>
      <w:r>
        <w:rPr>
          <w:color w:val="11111A"/>
          <w:w w:val="105"/>
          <w:sz w:val="19"/>
        </w:rPr>
        <w:t>Paisagismo e</w:t>
      </w:r>
      <w:r>
        <w:rPr>
          <w:color w:val="11111A"/>
          <w:spacing w:val="-22"/>
          <w:w w:val="105"/>
          <w:sz w:val="19"/>
        </w:rPr>
        <w:t> </w:t>
      </w:r>
      <w:r>
        <w:rPr>
          <w:color w:val="11111A"/>
          <w:w w:val="105"/>
          <w:sz w:val="19"/>
        </w:rPr>
        <w:t>arborização;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auto" w:before="46" w:after="0"/>
        <w:ind w:left="232" w:right="0" w:hanging="122"/>
        <w:jc w:val="left"/>
        <w:rPr>
          <w:color w:val="24232D"/>
          <w:sz w:val="19"/>
        </w:rPr>
      </w:pPr>
      <w:r>
        <w:rPr>
          <w:color w:val="11111A"/>
          <w:w w:val="105"/>
          <w:sz w:val="19"/>
        </w:rPr>
        <w:t>Bancos e áreas de</w:t>
      </w:r>
      <w:r>
        <w:rPr>
          <w:color w:val="11111A"/>
          <w:spacing w:val="-41"/>
          <w:w w:val="105"/>
          <w:sz w:val="19"/>
        </w:rPr>
        <w:t> </w:t>
      </w:r>
      <w:r>
        <w:rPr>
          <w:color w:val="11111A"/>
          <w:w w:val="105"/>
          <w:sz w:val="19"/>
        </w:rPr>
        <w:t>convivência;</w:t>
      </w:r>
    </w:p>
    <w:p>
      <w:pPr>
        <w:pStyle w:val="BodyText"/>
        <w:spacing w:before="60"/>
        <w:ind w:left="111"/>
      </w:pPr>
      <w:r>
        <w:rPr>
          <w:color w:val="11111A"/>
          <w:w w:val="105"/>
        </w:rPr>
        <w:t>-Área de Eventos e Centro de Convenções;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45" w:after="0"/>
        <w:ind w:left="231" w:right="0" w:hanging="121"/>
        <w:jc w:val="left"/>
        <w:rPr>
          <w:color w:val="3D3F46"/>
          <w:sz w:val="19"/>
        </w:rPr>
      </w:pPr>
      <w:r>
        <w:rPr>
          <w:color w:val="11111A"/>
          <w:w w:val="105"/>
          <w:sz w:val="19"/>
        </w:rPr>
        <w:t>Playground</w:t>
      </w:r>
      <w:r>
        <w:rPr>
          <w:color w:val="11111A"/>
          <w:spacing w:val="33"/>
          <w:w w:val="105"/>
          <w:sz w:val="19"/>
        </w:rPr>
        <w:t> </w:t>
      </w:r>
      <w:r>
        <w:rPr>
          <w:color w:val="11111A"/>
          <w:w w:val="105"/>
          <w:sz w:val="19"/>
        </w:rPr>
        <w:t>infantil;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53" w:after="0"/>
        <w:ind w:left="231" w:right="0" w:hanging="121"/>
        <w:jc w:val="left"/>
        <w:rPr>
          <w:color w:val="3D3F46"/>
          <w:sz w:val="19"/>
        </w:rPr>
      </w:pPr>
      <w:r>
        <w:rPr>
          <w:color w:val="11111A"/>
          <w:w w:val="105"/>
          <w:sz w:val="19"/>
        </w:rPr>
        <w:t>Pista de</w:t>
      </w:r>
      <w:r>
        <w:rPr>
          <w:color w:val="11111A"/>
          <w:spacing w:val="-46"/>
          <w:w w:val="105"/>
          <w:sz w:val="19"/>
        </w:rPr>
        <w:t> </w:t>
      </w:r>
      <w:r>
        <w:rPr>
          <w:color w:val="24232D"/>
          <w:w w:val="105"/>
          <w:sz w:val="19"/>
        </w:rPr>
        <w:t>caminhada;</w:t>
      </w:r>
    </w:p>
    <w:p>
      <w:pPr>
        <w:pStyle w:val="ListParagraph"/>
        <w:numPr>
          <w:ilvl w:val="0"/>
          <w:numId w:val="1"/>
        </w:numPr>
        <w:tabs>
          <w:tab w:pos="229" w:val="left" w:leader="none"/>
        </w:tabs>
        <w:spacing w:line="240" w:lineRule="auto" w:before="53" w:after="0"/>
        <w:ind w:left="228" w:right="0" w:hanging="118"/>
        <w:jc w:val="left"/>
        <w:rPr>
          <w:color w:val="11111A"/>
          <w:sz w:val="19"/>
        </w:rPr>
      </w:pPr>
      <w:r>
        <w:rPr>
          <w:color w:val="11111A"/>
          <w:w w:val="105"/>
          <w:sz w:val="19"/>
        </w:rPr>
        <w:t>Iluminação pública com energia</w:t>
      </w:r>
      <w:r>
        <w:rPr>
          <w:color w:val="11111A"/>
          <w:spacing w:val="-33"/>
          <w:w w:val="105"/>
          <w:sz w:val="19"/>
        </w:rPr>
        <w:t> </w:t>
      </w:r>
      <w:r>
        <w:rPr>
          <w:color w:val="24232D"/>
          <w:w w:val="105"/>
          <w:sz w:val="19"/>
        </w:rPr>
        <w:t>solar;</w:t>
      </w:r>
    </w:p>
    <w:p>
      <w:pPr>
        <w:pStyle w:val="ListParagraph"/>
        <w:numPr>
          <w:ilvl w:val="0"/>
          <w:numId w:val="1"/>
        </w:numPr>
        <w:tabs>
          <w:tab w:pos="232" w:val="left" w:leader="none"/>
        </w:tabs>
        <w:spacing w:line="240" w:lineRule="auto" w:before="46" w:after="0"/>
        <w:ind w:left="231" w:right="0" w:hanging="121"/>
        <w:jc w:val="left"/>
        <w:rPr>
          <w:color w:val="11111A"/>
          <w:sz w:val="19"/>
        </w:rPr>
      </w:pPr>
      <w:r>
        <w:rPr>
          <w:color w:val="11111A"/>
          <w:w w:val="110"/>
          <w:sz w:val="19"/>
        </w:rPr>
        <w:t>Estacionamento em todo</w:t>
      </w:r>
      <w:r>
        <w:rPr>
          <w:color w:val="11111A"/>
          <w:spacing w:val="-42"/>
          <w:w w:val="110"/>
          <w:sz w:val="19"/>
        </w:rPr>
        <w:t> </w:t>
      </w:r>
      <w:r>
        <w:rPr>
          <w:color w:val="11111A"/>
          <w:w w:val="110"/>
          <w:sz w:val="19"/>
        </w:rPr>
        <w:t>perímetro.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90" w:lineRule="auto" w:before="1"/>
        <w:ind w:left="112" w:right="617" w:firstLine="5"/>
      </w:pPr>
      <w:r>
        <w:rPr>
          <w:color w:val="11111A"/>
          <w:w w:val="105"/>
        </w:rPr>
        <w:t>Art. 32 </w:t>
      </w:r>
      <w:r>
        <w:rPr>
          <w:color w:val="3D3F46"/>
          <w:w w:val="105"/>
        </w:rPr>
        <w:t>- </w:t>
      </w:r>
      <w:r>
        <w:rPr>
          <w:color w:val="11111A"/>
          <w:w w:val="105"/>
        </w:rPr>
        <w:t>O Poder Executivo regulamentará esta Lei no prazo de 90 (noventa) dias</w:t>
      </w:r>
      <w:r>
        <w:rPr>
          <w:color w:val="3D3F46"/>
          <w:w w:val="105"/>
        </w:rPr>
        <w:t>, </w:t>
      </w:r>
      <w:r>
        <w:rPr>
          <w:color w:val="11111A"/>
          <w:w w:val="105"/>
        </w:rPr>
        <w:t>a partir de sua publicação.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90" w:lineRule="auto"/>
        <w:ind w:left="111" w:firstLine="56"/>
      </w:pPr>
      <w:r>
        <w:rPr>
          <w:color w:val="11111A"/>
          <w:w w:val="105"/>
        </w:rPr>
        <w:t>Art. 42 </w:t>
      </w:r>
      <w:r>
        <w:rPr>
          <w:color w:val="24232D"/>
          <w:w w:val="105"/>
        </w:rPr>
        <w:t>- </w:t>
      </w:r>
      <w:r>
        <w:rPr>
          <w:color w:val="11111A"/>
          <w:w w:val="105"/>
        </w:rPr>
        <w:t>As despesas decorrentes desta lei correrão por </w:t>
      </w:r>
      <w:r>
        <w:rPr>
          <w:color w:val="24232D"/>
          <w:w w:val="105"/>
        </w:rPr>
        <w:t>conta </w:t>
      </w:r>
      <w:r>
        <w:rPr>
          <w:color w:val="11111A"/>
          <w:w w:val="105"/>
        </w:rPr>
        <w:t>de dotações orçamentárias própria </w:t>
      </w:r>
      <w:r>
        <w:rPr>
          <w:color w:val="3D3F46"/>
          <w:w w:val="105"/>
        </w:rPr>
        <w:t>s, </w:t>
      </w:r>
      <w:r>
        <w:rPr>
          <w:color w:val="11111A"/>
          <w:w w:val="105"/>
        </w:rPr>
        <w:t>suplementadas se necessário</w:t>
      </w:r>
      <w:r>
        <w:rPr>
          <w:color w:val="3D3F46"/>
          <w:w w:val="105"/>
        </w:rPr>
        <w:t>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60"/>
      </w:pPr>
      <w:r>
        <w:rPr>
          <w:color w:val="11111A"/>
          <w:w w:val="105"/>
        </w:rPr>
        <w:t>Art</w:t>
      </w:r>
      <w:r>
        <w:rPr>
          <w:color w:val="3D3F46"/>
          <w:w w:val="105"/>
        </w:rPr>
        <w:t>. </w:t>
      </w:r>
      <w:r>
        <w:rPr>
          <w:i/>
          <w:color w:val="11111A"/>
          <w:w w:val="105"/>
        </w:rPr>
        <w:t>5º </w:t>
      </w:r>
      <w:r>
        <w:rPr>
          <w:color w:val="3D3F46"/>
          <w:w w:val="105"/>
        </w:rPr>
        <w:t>- </w:t>
      </w:r>
      <w:r>
        <w:rPr>
          <w:color w:val="11111A"/>
          <w:w w:val="105"/>
        </w:rPr>
        <w:t>Esta lei</w:t>
      </w:r>
      <w:r>
        <w:rPr>
          <w:color w:val="11111A"/>
          <w:spacing w:val="54"/>
          <w:w w:val="105"/>
        </w:rPr>
        <w:t> </w:t>
      </w:r>
      <w:r>
        <w:rPr>
          <w:color w:val="11111A"/>
          <w:w w:val="105"/>
        </w:rPr>
        <w:t>entra em vigor na data de </w:t>
      </w:r>
      <w:r>
        <w:rPr>
          <w:color w:val="24232D"/>
          <w:w w:val="105"/>
        </w:rPr>
        <w:t>sua </w:t>
      </w:r>
      <w:r>
        <w:rPr>
          <w:color w:val="11111A"/>
          <w:w w:val="105"/>
        </w:rPr>
        <w:t>publicação </w:t>
      </w:r>
      <w:r>
        <w:rPr>
          <w:color w:val="3D3F46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ind w:left="2571"/>
      </w:pPr>
      <w:r>
        <w:rPr>
          <w:color w:val="11111A"/>
          <w:w w:val="105"/>
        </w:rPr>
        <w:t>Tamandaré, em </w:t>
      </w:r>
      <w:r>
        <w:rPr>
          <w:color w:val="24232D"/>
          <w:w w:val="105"/>
        </w:rPr>
        <w:t>20 </w:t>
      </w:r>
      <w:r>
        <w:rPr>
          <w:color w:val="11111A"/>
          <w:w w:val="105"/>
        </w:rPr>
        <w:t>de </w:t>
      </w:r>
      <w:r>
        <w:rPr>
          <w:color w:val="24232D"/>
          <w:w w:val="105"/>
        </w:rPr>
        <w:t>outubro </w:t>
      </w:r>
      <w:r>
        <w:rPr>
          <w:color w:val="11111A"/>
          <w:w w:val="105"/>
        </w:rPr>
        <w:t>de </w:t>
      </w:r>
      <w:r>
        <w:rPr>
          <w:color w:val="24232D"/>
          <w:w w:val="105"/>
        </w:rPr>
        <w:t>2025</w:t>
      </w:r>
      <w:r>
        <w:rPr>
          <w:color w:val="00002A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3829" w:right="1966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2522933</wp:posOffset>
            </wp:positionH>
            <wp:positionV relativeFrom="paragraph">
              <wp:posOffset>-302574</wp:posOffset>
            </wp:positionV>
            <wp:extent cx="2196223" cy="476111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223" cy="476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A"/>
          <w:w w:val="90"/>
          <w:sz w:val="20"/>
        </w:rPr>
        <w:t>ES</w:t>
      </w:r>
    </w:p>
    <w:p>
      <w:pPr>
        <w:pStyle w:val="BodyText"/>
        <w:spacing w:before="37"/>
        <w:ind w:left="2407" w:right="4098"/>
        <w:jc w:val="center"/>
      </w:pPr>
      <w:r>
        <w:rPr>
          <w:color w:val="11111A"/>
        </w:rPr>
        <w:t>PREFEITO</w:t>
      </w:r>
    </w:p>
    <w:sectPr>
      <w:type w:val="continuous"/>
      <w:pgSz w:w="11820" w:h="16860"/>
      <w:pgMar w:top="460" w:bottom="280" w:left="144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1" w:hanging="113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49" w:hanging="11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9" w:hanging="11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9" w:hanging="11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9" w:hanging="11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9" w:hanging="11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9" w:hanging="11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09" w:hanging="11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9" w:hanging="1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>
      <w:spacing w:before="46"/>
      <w:ind w:left="231" w:hanging="12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gabinete@tamandare.pe.gov.br" TargetMode="External"/><Relationship Id="rId9" Type="http://schemas.openxmlformats.org/officeDocument/2006/relationships/image" Target="media/image4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2026-01-09T13:24:36Z</dcterms:created>
  <dcterms:modified xsi:type="dcterms:W3CDTF">2026-01-09T13:24:36Z</dcterms:modified>
</cp:coreProperties>
</file>